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38E" w:rsidRPr="0042038E" w:rsidRDefault="0042038E" w:rsidP="0042038E">
      <w:pPr>
        <w:shd w:val="clear" w:color="auto" w:fill="FFFFFF"/>
        <w:spacing w:before="20" w:after="20" w:line="240" w:lineRule="auto"/>
        <w:ind w:left="20"/>
        <w:jc w:val="center"/>
        <w:rPr>
          <w:rFonts w:ascii="Verdana" w:eastAsia="Times New Roman" w:hAnsi="Verdana" w:cs="Times New Roman"/>
          <w:color w:val="000000"/>
          <w:sz w:val="19"/>
          <w:szCs w:val="19"/>
          <w:lang w:eastAsia="it-IT"/>
        </w:rPr>
      </w:pPr>
      <w:r w:rsidRPr="0042038E">
        <w:rPr>
          <w:rFonts w:ascii="Verdana" w:eastAsia="Times New Roman" w:hAnsi="Verdana" w:cs="Times New Roman"/>
          <w:color w:val="000000"/>
          <w:sz w:val="19"/>
          <w:szCs w:val="19"/>
          <w:lang w:eastAsia="it-IT"/>
        </w:rPr>
        <w:t xml:space="preserve">ORDINI DEL GIORNO AL DISEGNO DI LEGGE  </w:t>
      </w:r>
    </w:p>
    <w:p w:rsidR="0042038E" w:rsidRPr="0042038E" w:rsidRDefault="0042038E" w:rsidP="0042038E">
      <w:pPr>
        <w:shd w:val="clear" w:color="auto" w:fill="FFFFFF"/>
        <w:spacing w:before="20" w:after="20" w:line="240" w:lineRule="auto"/>
        <w:ind w:left="20"/>
        <w:jc w:val="center"/>
        <w:rPr>
          <w:rFonts w:ascii="Verdana" w:eastAsia="Times New Roman" w:hAnsi="Verdana" w:cs="Times New Roman"/>
          <w:color w:val="000000"/>
          <w:sz w:val="19"/>
          <w:szCs w:val="19"/>
          <w:lang w:eastAsia="it-IT"/>
        </w:rPr>
      </w:pPr>
      <w:r w:rsidRPr="0042038E">
        <w:rPr>
          <w:rFonts w:ascii="Verdana" w:eastAsia="Times New Roman" w:hAnsi="Verdana" w:cs="Times New Roman"/>
          <w:color w:val="000000"/>
          <w:sz w:val="19"/>
          <w:szCs w:val="19"/>
          <w:lang w:eastAsia="it-IT"/>
        </w:rPr>
        <w:t xml:space="preserve">N. </w:t>
      </w:r>
      <w:hyperlink r:id="rId4" w:tooltip="Il link apre una nuova finestra" w:history="1">
        <w:r w:rsidRPr="0042038E">
          <w:rPr>
            <w:rFonts w:ascii="Verdana" w:eastAsia="Times New Roman" w:hAnsi="Verdana" w:cs="Times New Roman"/>
            <w:color w:val="0000FF"/>
            <w:sz w:val="19"/>
            <w:lang w:eastAsia="it-IT"/>
          </w:rPr>
          <w:t>2272</w:t>
        </w:r>
      </w:hyperlink>
    </w:p>
    <w:p w:rsidR="0042038E" w:rsidRPr="0042038E" w:rsidRDefault="0042038E" w:rsidP="0042038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it-IT"/>
        </w:rPr>
      </w:pPr>
      <w:r w:rsidRPr="0042038E">
        <w:rPr>
          <w:rFonts w:ascii="Verdana" w:eastAsia="Times New Roman" w:hAnsi="Verdana" w:cs="Times New Roman"/>
          <w:b/>
          <w:bCs/>
          <w:color w:val="000000"/>
          <w:sz w:val="19"/>
          <w:szCs w:val="19"/>
          <w:lang w:eastAsia="it-IT"/>
        </w:rPr>
        <w:t xml:space="preserve">G/2272/1/3 </w:t>
      </w:r>
      <w:r w:rsidRPr="0042038E">
        <w:rPr>
          <w:rFonts w:ascii="Verdana" w:eastAsia="Times New Roman" w:hAnsi="Verdana" w:cs="Times New Roman"/>
          <w:color w:val="000000"/>
          <w:sz w:val="19"/>
          <w:szCs w:val="19"/>
          <w:lang w:eastAsia="it-IT"/>
        </w:rPr>
        <w:t xml:space="preserve"> </w:t>
      </w:r>
    </w:p>
    <w:p w:rsidR="0042038E" w:rsidRPr="0042038E" w:rsidRDefault="0042038E" w:rsidP="0042038E">
      <w:pPr>
        <w:shd w:val="clear" w:color="auto" w:fill="FFFFFF"/>
        <w:spacing w:after="0" w:line="240" w:lineRule="auto"/>
        <w:ind w:left="20"/>
        <w:rPr>
          <w:rFonts w:ascii="Verdana" w:eastAsia="Times New Roman" w:hAnsi="Verdana" w:cs="Times New Roman"/>
          <w:color w:val="000000"/>
          <w:sz w:val="19"/>
          <w:szCs w:val="19"/>
          <w:lang w:eastAsia="it-IT"/>
        </w:rPr>
      </w:pPr>
      <w:hyperlink r:id="rId5" w:tooltip="Il link apre una nuova finestra" w:history="1">
        <w:r w:rsidRPr="0042038E">
          <w:rPr>
            <w:rFonts w:ascii="Verdana" w:eastAsia="Times New Roman" w:hAnsi="Verdana" w:cs="Times New Roman"/>
            <w:color w:val="0000FF"/>
            <w:sz w:val="19"/>
            <w:lang w:eastAsia="it-IT"/>
          </w:rPr>
          <w:t>TONINI</w:t>
        </w:r>
      </w:hyperlink>
      <w:r w:rsidRPr="0042038E">
        <w:rPr>
          <w:rFonts w:ascii="Verdana" w:eastAsia="Times New Roman" w:hAnsi="Verdana" w:cs="Times New Roman"/>
          <w:color w:val="000000"/>
          <w:sz w:val="19"/>
          <w:szCs w:val="19"/>
          <w:lang w:eastAsia="it-IT"/>
        </w:rPr>
        <w:t xml:space="preserve">, </w:t>
      </w:r>
      <w:hyperlink r:id="rId6" w:tooltip="Il link apre una nuova finestra" w:history="1">
        <w:r w:rsidRPr="0042038E">
          <w:rPr>
            <w:rFonts w:ascii="Verdana" w:eastAsia="Times New Roman" w:hAnsi="Verdana" w:cs="Times New Roman"/>
            <w:color w:val="0000FF"/>
            <w:sz w:val="19"/>
            <w:lang w:eastAsia="it-IT"/>
          </w:rPr>
          <w:t>MARCENARO</w:t>
        </w:r>
      </w:hyperlink>
      <w:r w:rsidRPr="0042038E">
        <w:rPr>
          <w:rFonts w:ascii="Verdana" w:eastAsia="Times New Roman" w:hAnsi="Verdana" w:cs="Times New Roman"/>
          <w:color w:val="000000"/>
          <w:sz w:val="19"/>
          <w:szCs w:val="19"/>
          <w:lang w:eastAsia="it-IT"/>
        </w:rPr>
        <w:t xml:space="preserve">, </w:t>
      </w:r>
      <w:hyperlink r:id="rId7" w:tooltip="Il link apre una nuova finestra" w:history="1">
        <w:r w:rsidRPr="0042038E">
          <w:rPr>
            <w:rFonts w:ascii="Verdana" w:eastAsia="Times New Roman" w:hAnsi="Verdana" w:cs="Times New Roman"/>
            <w:color w:val="0000FF"/>
            <w:sz w:val="19"/>
            <w:lang w:eastAsia="it-IT"/>
          </w:rPr>
          <w:t>CABRAS</w:t>
        </w:r>
      </w:hyperlink>
      <w:r w:rsidRPr="0042038E">
        <w:rPr>
          <w:rFonts w:ascii="Verdana" w:eastAsia="Times New Roman" w:hAnsi="Verdana" w:cs="Times New Roman"/>
          <w:color w:val="000000"/>
          <w:sz w:val="19"/>
          <w:szCs w:val="19"/>
          <w:lang w:eastAsia="it-IT"/>
        </w:rPr>
        <w:t xml:space="preserve">, </w:t>
      </w:r>
      <w:hyperlink r:id="rId8" w:tooltip="Il link apre una nuova finestra" w:history="1">
        <w:r w:rsidRPr="0042038E">
          <w:rPr>
            <w:rFonts w:ascii="Verdana" w:eastAsia="Times New Roman" w:hAnsi="Verdana" w:cs="Times New Roman"/>
            <w:color w:val="0000FF"/>
            <w:sz w:val="19"/>
            <w:lang w:eastAsia="it-IT"/>
          </w:rPr>
          <w:t>LIVI BACCI</w:t>
        </w:r>
      </w:hyperlink>
      <w:r w:rsidRPr="0042038E">
        <w:rPr>
          <w:rFonts w:ascii="Verdana" w:eastAsia="Times New Roman" w:hAnsi="Verdana" w:cs="Times New Roman"/>
          <w:color w:val="000000"/>
          <w:sz w:val="19"/>
          <w:szCs w:val="19"/>
          <w:lang w:eastAsia="it-IT"/>
        </w:rPr>
        <w:t xml:space="preserve">, </w:t>
      </w:r>
      <w:hyperlink r:id="rId9" w:tooltip="Il link apre una nuova finestra" w:history="1">
        <w:r w:rsidRPr="0042038E">
          <w:rPr>
            <w:rFonts w:ascii="Verdana" w:eastAsia="Times New Roman" w:hAnsi="Verdana" w:cs="Times New Roman"/>
            <w:color w:val="0000FF"/>
            <w:sz w:val="19"/>
            <w:lang w:eastAsia="it-IT"/>
          </w:rPr>
          <w:t>MARINARO</w:t>
        </w:r>
      </w:hyperlink>
      <w:r w:rsidRPr="0042038E">
        <w:rPr>
          <w:rFonts w:ascii="Verdana" w:eastAsia="Times New Roman" w:hAnsi="Verdana" w:cs="Times New Roman"/>
          <w:color w:val="000000"/>
          <w:sz w:val="19"/>
          <w:szCs w:val="19"/>
          <w:lang w:eastAsia="it-IT"/>
        </w:rPr>
        <w:t xml:space="preserve">, </w:t>
      </w:r>
      <w:hyperlink r:id="rId10" w:tooltip="Il link apre una nuova finestra" w:history="1">
        <w:r w:rsidRPr="0042038E">
          <w:rPr>
            <w:rFonts w:ascii="Verdana" w:eastAsia="Times New Roman" w:hAnsi="Verdana" w:cs="Times New Roman"/>
            <w:color w:val="0000FF"/>
            <w:sz w:val="19"/>
            <w:lang w:eastAsia="it-IT"/>
          </w:rPr>
          <w:t>MARINI</w:t>
        </w:r>
      </w:hyperlink>
      <w:r w:rsidRPr="0042038E">
        <w:rPr>
          <w:rFonts w:ascii="Verdana" w:eastAsia="Times New Roman" w:hAnsi="Verdana" w:cs="Times New Roman"/>
          <w:color w:val="000000"/>
          <w:sz w:val="19"/>
          <w:szCs w:val="19"/>
          <w:lang w:eastAsia="it-IT"/>
        </w:rPr>
        <w:t xml:space="preserve">, </w:t>
      </w:r>
      <w:hyperlink r:id="rId11" w:tooltip="Il link apre una nuova finestra" w:history="1">
        <w:r w:rsidRPr="0042038E">
          <w:rPr>
            <w:rFonts w:ascii="Verdana" w:eastAsia="Times New Roman" w:hAnsi="Verdana" w:cs="Times New Roman"/>
            <w:color w:val="0000FF"/>
            <w:sz w:val="19"/>
            <w:lang w:eastAsia="it-IT"/>
          </w:rPr>
          <w:t>MICHELONI</w:t>
        </w:r>
      </w:hyperlink>
      <w:r w:rsidRPr="0042038E">
        <w:rPr>
          <w:rFonts w:ascii="Verdana" w:eastAsia="Times New Roman" w:hAnsi="Verdana" w:cs="Times New Roman"/>
          <w:color w:val="000000"/>
          <w:sz w:val="19"/>
          <w:szCs w:val="19"/>
          <w:lang w:eastAsia="it-IT"/>
        </w:rPr>
        <w:t xml:space="preserve">, </w:t>
      </w:r>
      <w:hyperlink r:id="rId12" w:tooltip="Il link apre una nuova finestra" w:history="1">
        <w:r w:rsidRPr="0042038E">
          <w:rPr>
            <w:rFonts w:ascii="Verdana" w:eastAsia="Times New Roman" w:hAnsi="Verdana" w:cs="Times New Roman"/>
            <w:color w:val="0000FF"/>
            <w:sz w:val="19"/>
            <w:lang w:eastAsia="it-IT"/>
          </w:rPr>
          <w:t>PERDUCA</w:t>
        </w:r>
      </w:hyperlink>
      <w:r w:rsidRPr="0042038E">
        <w:rPr>
          <w:rFonts w:ascii="Verdana" w:eastAsia="Times New Roman" w:hAnsi="Verdana" w:cs="Times New Roman"/>
          <w:color w:val="000000"/>
          <w:sz w:val="19"/>
          <w:szCs w:val="19"/>
          <w:lang w:eastAsia="it-IT"/>
        </w:rPr>
        <w:t xml:space="preserve">, </w:t>
      </w:r>
      <w:hyperlink r:id="rId13" w:tooltip="Il link apre una nuova finestra" w:history="1">
        <w:r w:rsidRPr="0042038E">
          <w:rPr>
            <w:rFonts w:ascii="Verdana" w:eastAsia="Times New Roman" w:hAnsi="Verdana" w:cs="Times New Roman"/>
            <w:color w:val="0000FF"/>
            <w:sz w:val="19"/>
            <w:lang w:eastAsia="it-IT"/>
          </w:rPr>
          <w:t>ZAVOLI</w:t>
        </w:r>
      </w:hyperlink>
    </w:p>
    <w:p w:rsidR="0042038E" w:rsidRPr="0042038E" w:rsidRDefault="0042038E" w:rsidP="0042038E">
      <w:pPr>
        <w:shd w:val="clear" w:color="auto" w:fill="FFFFFF"/>
        <w:spacing w:after="0" w:line="240" w:lineRule="auto"/>
        <w:ind w:left="20"/>
        <w:rPr>
          <w:rFonts w:ascii="Verdana" w:eastAsia="Times New Roman" w:hAnsi="Verdana" w:cs="Times New Roman"/>
          <w:color w:val="000000"/>
          <w:sz w:val="19"/>
          <w:szCs w:val="19"/>
          <w:lang w:eastAsia="it-IT"/>
        </w:rPr>
      </w:pPr>
      <w:r w:rsidRPr="0042038E">
        <w:rPr>
          <w:rFonts w:ascii="Verdana" w:eastAsia="Times New Roman" w:hAnsi="Verdana" w:cs="Times New Roman"/>
          <w:color w:val="000000"/>
          <w:sz w:val="19"/>
          <w:szCs w:val="19"/>
          <w:lang w:eastAsia="it-IT"/>
        </w:rPr>
        <w:t> </w:t>
      </w:r>
    </w:p>
    <w:p w:rsidR="0042038E" w:rsidRPr="0042038E" w:rsidRDefault="0042038E" w:rsidP="0042038E">
      <w:pPr>
        <w:shd w:val="clear" w:color="auto" w:fill="FFFFFF"/>
        <w:spacing w:after="0" w:line="240" w:lineRule="auto"/>
        <w:ind w:left="20"/>
        <w:rPr>
          <w:rFonts w:ascii="Verdana" w:eastAsia="Times New Roman" w:hAnsi="Verdana" w:cs="Times New Roman"/>
          <w:color w:val="000000"/>
          <w:sz w:val="19"/>
          <w:szCs w:val="19"/>
          <w:lang w:eastAsia="it-IT"/>
        </w:rPr>
      </w:pPr>
      <w:r w:rsidRPr="0042038E">
        <w:rPr>
          <w:rFonts w:ascii="Verdana" w:eastAsia="Times New Roman" w:hAnsi="Verdana" w:cs="Times New Roman"/>
          <w:color w:val="000000"/>
          <w:sz w:val="19"/>
          <w:szCs w:val="19"/>
          <w:lang w:eastAsia="it-IT"/>
        </w:rPr>
        <w:t xml:space="preserve">La Commissione Affari esteri, </w:t>
      </w:r>
    </w:p>
    <w:p w:rsidR="0042038E" w:rsidRPr="0042038E" w:rsidRDefault="0042038E" w:rsidP="0042038E">
      <w:pPr>
        <w:shd w:val="clear" w:color="auto" w:fill="FFFFFF"/>
        <w:spacing w:after="0" w:line="240" w:lineRule="auto"/>
        <w:ind w:left="20"/>
        <w:rPr>
          <w:rFonts w:ascii="Verdana" w:eastAsia="Times New Roman" w:hAnsi="Verdana" w:cs="Times New Roman"/>
          <w:color w:val="000000"/>
          <w:sz w:val="19"/>
          <w:szCs w:val="19"/>
          <w:lang w:eastAsia="it-IT"/>
        </w:rPr>
      </w:pPr>
      <w:r w:rsidRPr="0042038E">
        <w:rPr>
          <w:rFonts w:ascii="Verdana" w:eastAsia="Times New Roman" w:hAnsi="Verdana" w:cs="Times New Roman"/>
          <w:color w:val="000000"/>
          <w:sz w:val="19"/>
          <w:szCs w:val="19"/>
          <w:lang w:eastAsia="it-IT"/>
        </w:rPr>
        <w:t> </w:t>
      </w:r>
    </w:p>
    <w:p w:rsidR="0042038E" w:rsidRPr="0042038E" w:rsidRDefault="0042038E" w:rsidP="0042038E">
      <w:pPr>
        <w:shd w:val="clear" w:color="auto" w:fill="FFFFFF"/>
        <w:spacing w:after="0" w:line="240" w:lineRule="auto"/>
        <w:ind w:left="20"/>
        <w:rPr>
          <w:rFonts w:ascii="Verdana" w:eastAsia="Times New Roman" w:hAnsi="Verdana" w:cs="Times New Roman"/>
          <w:color w:val="000000"/>
          <w:sz w:val="19"/>
          <w:szCs w:val="19"/>
          <w:lang w:eastAsia="it-IT"/>
        </w:rPr>
      </w:pPr>
      <w:r w:rsidRPr="0042038E">
        <w:rPr>
          <w:rFonts w:ascii="Verdana" w:eastAsia="Times New Roman" w:hAnsi="Verdana" w:cs="Times New Roman"/>
          <w:color w:val="000000"/>
          <w:sz w:val="19"/>
          <w:szCs w:val="19"/>
          <w:lang w:eastAsia="it-IT"/>
        </w:rPr>
        <w:t>in sede di esame del disegno di legge 2272,</w:t>
      </w:r>
    </w:p>
    <w:p w:rsidR="0042038E" w:rsidRPr="0042038E" w:rsidRDefault="0042038E" w:rsidP="0042038E">
      <w:pPr>
        <w:shd w:val="clear" w:color="auto" w:fill="FFFFFF"/>
        <w:spacing w:after="0" w:line="240" w:lineRule="auto"/>
        <w:ind w:left="20"/>
        <w:rPr>
          <w:rFonts w:ascii="Verdana" w:eastAsia="Times New Roman" w:hAnsi="Verdana" w:cs="Times New Roman"/>
          <w:color w:val="000000"/>
          <w:sz w:val="19"/>
          <w:szCs w:val="19"/>
          <w:lang w:eastAsia="it-IT"/>
        </w:rPr>
      </w:pPr>
      <w:r w:rsidRPr="0042038E">
        <w:rPr>
          <w:rFonts w:ascii="Verdana" w:eastAsia="Times New Roman" w:hAnsi="Verdana" w:cs="Times New Roman"/>
          <w:color w:val="000000"/>
          <w:sz w:val="19"/>
          <w:szCs w:val="19"/>
          <w:lang w:eastAsia="it-IT"/>
        </w:rPr>
        <w:t> </w:t>
      </w:r>
    </w:p>
    <w:p w:rsidR="0042038E" w:rsidRPr="0042038E" w:rsidRDefault="0042038E" w:rsidP="0042038E">
      <w:pPr>
        <w:shd w:val="clear" w:color="auto" w:fill="FFFFFF"/>
        <w:spacing w:after="0" w:line="240" w:lineRule="auto"/>
        <w:ind w:left="20"/>
        <w:rPr>
          <w:rFonts w:ascii="Verdana" w:eastAsia="Times New Roman" w:hAnsi="Verdana" w:cs="Times New Roman"/>
          <w:color w:val="000000"/>
          <w:sz w:val="19"/>
          <w:szCs w:val="19"/>
          <w:lang w:eastAsia="it-IT"/>
        </w:rPr>
      </w:pPr>
      <w:r w:rsidRPr="0042038E">
        <w:rPr>
          <w:rFonts w:ascii="Verdana" w:eastAsia="Times New Roman" w:hAnsi="Verdana" w:cs="Times New Roman"/>
          <w:color w:val="000000"/>
          <w:sz w:val="19"/>
          <w:szCs w:val="19"/>
          <w:lang w:eastAsia="it-IT"/>
        </w:rPr>
        <w:t xml:space="preserve">premesso che: </w:t>
      </w:r>
    </w:p>
    <w:p w:rsidR="0042038E" w:rsidRPr="0042038E" w:rsidRDefault="0042038E" w:rsidP="0042038E">
      <w:pPr>
        <w:shd w:val="clear" w:color="auto" w:fill="FFFFFF"/>
        <w:spacing w:after="0" w:line="240" w:lineRule="auto"/>
        <w:ind w:left="20"/>
        <w:rPr>
          <w:rFonts w:ascii="Verdana" w:eastAsia="Times New Roman" w:hAnsi="Verdana" w:cs="Times New Roman"/>
          <w:color w:val="000000"/>
          <w:sz w:val="19"/>
          <w:szCs w:val="19"/>
          <w:lang w:eastAsia="it-IT"/>
        </w:rPr>
      </w:pPr>
      <w:r w:rsidRPr="0042038E">
        <w:rPr>
          <w:rFonts w:ascii="Verdana" w:eastAsia="Times New Roman" w:hAnsi="Verdana" w:cs="Times New Roman"/>
          <w:color w:val="000000"/>
          <w:sz w:val="19"/>
          <w:szCs w:val="19"/>
          <w:lang w:eastAsia="it-IT"/>
        </w:rPr>
        <w:t> </w:t>
      </w:r>
    </w:p>
    <w:p w:rsidR="0042038E" w:rsidRPr="0042038E" w:rsidRDefault="0042038E" w:rsidP="0042038E">
      <w:pPr>
        <w:shd w:val="clear" w:color="auto" w:fill="FFFFFF"/>
        <w:spacing w:after="0" w:line="240" w:lineRule="auto"/>
        <w:ind w:left="20"/>
        <w:rPr>
          <w:rFonts w:ascii="Verdana" w:eastAsia="Times New Roman" w:hAnsi="Verdana" w:cs="Times New Roman"/>
          <w:color w:val="000000"/>
          <w:sz w:val="19"/>
          <w:szCs w:val="19"/>
          <w:lang w:eastAsia="it-IT"/>
        </w:rPr>
      </w:pPr>
      <w:r w:rsidRPr="0042038E">
        <w:rPr>
          <w:rFonts w:ascii="Verdana" w:eastAsia="Times New Roman" w:hAnsi="Verdana" w:cs="Times New Roman"/>
          <w:color w:val="000000"/>
          <w:sz w:val="19"/>
          <w:szCs w:val="19"/>
          <w:lang w:eastAsia="it-IT"/>
        </w:rPr>
        <w:t>il disegno di legge all'esame della commissione è finalizzato a dotare il Ministero degli affari esteri (cui compete la politica della cooperazione allo sviluppo) di maggiore flessibilità nell'amministrazione dei fondi accreditati alle rappresentanze diplomatiche per iniziative di cooperazione e va incontro ad esigenze, anch'esse improcrastinabili,  di rinnovamento della gestione e potenziamento dell'efficacia delle modalità operative dei paesi donatori;</w:t>
      </w:r>
    </w:p>
    <w:p w:rsidR="0042038E" w:rsidRPr="0042038E" w:rsidRDefault="0042038E" w:rsidP="0042038E">
      <w:pPr>
        <w:shd w:val="clear" w:color="auto" w:fill="FFFFFF"/>
        <w:spacing w:after="0" w:line="240" w:lineRule="auto"/>
        <w:ind w:left="20"/>
        <w:rPr>
          <w:rFonts w:ascii="Verdana" w:eastAsia="Times New Roman" w:hAnsi="Verdana" w:cs="Times New Roman"/>
          <w:color w:val="000000"/>
          <w:sz w:val="19"/>
          <w:szCs w:val="19"/>
          <w:lang w:eastAsia="it-IT"/>
        </w:rPr>
      </w:pPr>
      <w:r w:rsidRPr="0042038E">
        <w:rPr>
          <w:rFonts w:ascii="Verdana" w:eastAsia="Times New Roman" w:hAnsi="Verdana" w:cs="Times New Roman"/>
          <w:color w:val="000000"/>
          <w:sz w:val="19"/>
          <w:szCs w:val="19"/>
          <w:lang w:eastAsia="it-IT"/>
        </w:rPr>
        <w:t> </w:t>
      </w:r>
    </w:p>
    <w:p w:rsidR="0042038E" w:rsidRPr="0042038E" w:rsidRDefault="0042038E" w:rsidP="0042038E">
      <w:pPr>
        <w:shd w:val="clear" w:color="auto" w:fill="FFFFFF"/>
        <w:spacing w:after="0" w:line="240" w:lineRule="auto"/>
        <w:ind w:left="20"/>
        <w:rPr>
          <w:rFonts w:ascii="Verdana" w:eastAsia="Times New Roman" w:hAnsi="Verdana" w:cs="Times New Roman"/>
          <w:color w:val="000000"/>
          <w:sz w:val="19"/>
          <w:szCs w:val="19"/>
          <w:lang w:eastAsia="it-IT"/>
        </w:rPr>
      </w:pPr>
      <w:r w:rsidRPr="0042038E">
        <w:rPr>
          <w:rFonts w:ascii="Verdana" w:eastAsia="Times New Roman" w:hAnsi="Verdana" w:cs="Times New Roman"/>
          <w:color w:val="000000"/>
          <w:sz w:val="19"/>
          <w:szCs w:val="19"/>
          <w:lang w:eastAsia="it-IT"/>
        </w:rPr>
        <w:t xml:space="preserve">la scarsità dei fondi disponibili e il persistente ritardo nella riforma della legislazione sulla cooperazione allo sviluppo, mettono tuttavia a rischio l'esistenza stessa dell'aiuto pubblico allo sviluppo; </w:t>
      </w:r>
    </w:p>
    <w:p w:rsidR="0042038E" w:rsidRPr="0042038E" w:rsidRDefault="0042038E" w:rsidP="0042038E">
      <w:pPr>
        <w:shd w:val="clear" w:color="auto" w:fill="FFFFFF"/>
        <w:spacing w:after="0" w:line="240" w:lineRule="auto"/>
        <w:ind w:left="20"/>
        <w:rPr>
          <w:rFonts w:ascii="Verdana" w:eastAsia="Times New Roman" w:hAnsi="Verdana" w:cs="Times New Roman"/>
          <w:color w:val="000000"/>
          <w:sz w:val="19"/>
          <w:szCs w:val="19"/>
          <w:lang w:eastAsia="it-IT"/>
        </w:rPr>
      </w:pPr>
      <w:r w:rsidRPr="0042038E">
        <w:rPr>
          <w:rFonts w:ascii="Verdana" w:eastAsia="Times New Roman" w:hAnsi="Verdana" w:cs="Times New Roman"/>
          <w:color w:val="000000"/>
          <w:sz w:val="19"/>
          <w:szCs w:val="19"/>
          <w:lang w:eastAsia="it-IT"/>
        </w:rPr>
        <w:t> </w:t>
      </w:r>
    </w:p>
    <w:p w:rsidR="0042038E" w:rsidRPr="0042038E" w:rsidRDefault="0042038E" w:rsidP="0042038E">
      <w:pPr>
        <w:shd w:val="clear" w:color="auto" w:fill="FFFFFF"/>
        <w:spacing w:after="0" w:line="240" w:lineRule="auto"/>
        <w:ind w:left="20"/>
        <w:rPr>
          <w:rFonts w:ascii="Verdana" w:eastAsia="Times New Roman" w:hAnsi="Verdana" w:cs="Times New Roman"/>
          <w:color w:val="000000"/>
          <w:sz w:val="19"/>
          <w:szCs w:val="19"/>
          <w:lang w:eastAsia="it-IT"/>
        </w:rPr>
      </w:pPr>
      <w:r w:rsidRPr="0042038E">
        <w:rPr>
          <w:rFonts w:ascii="Verdana" w:eastAsia="Times New Roman" w:hAnsi="Verdana" w:cs="Times New Roman"/>
          <w:color w:val="000000"/>
          <w:sz w:val="19"/>
          <w:szCs w:val="19"/>
          <w:lang w:eastAsia="it-IT"/>
        </w:rPr>
        <w:t xml:space="preserve">la Banca Mondiale ha chiesto agli stati industrializzati di destinare lo 0,7 per cento dei pacchetti anticrisi per interventi a sostegno di infrastrutture e </w:t>
      </w:r>
      <w:proofErr w:type="spellStart"/>
      <w:r w:rsidRPr="0042038E">
        <w:rPr>
          <w:rFonts w:ascii="Verdana" w:eastAsia="Times New Roman" w:hAnsi="Verdana" w:cs="Times New Roman"/>
          <w:i/>
          <w:iCs/>
          <w:color w:val="000000"/>
          <w:sz w:val="19"/>
          <w:szCs w:val="19"/>
          <w:lang w:eastAsia="it-IT"/>
        </w:rPr>
        <w:t>welfare</w:t>
      </w:r>
      <w:proofErr w:type="spellEnd"/>
      <w:r w:rsidRPr="0042038E">
        <w:rPr>
          <w:rFonts w:ascii="Verdana" w:eastAsia="Times New Roman" w:hAnsi="Verdana" w:cs="Times New Roman"/>
          <w:color w:val="000000"/>
          <w:sz w:val="19"/>
          <w:szCs w:val="19"/>
          <w:lang w:eastAsia="it-IT"/>
        </w:rPr>
        <w:t xml:space="preserve"> nei paesi in via di sviluppo; </w:t>
      </w:r>
    </w:p>
    <w:p w:rsidR="0042038E" w:rsidRPr="0042038E" w:rsidRDefault="0042038E" w:rsidP="0042038E">
      <w:pPr>
        <w:shd w:val="clear" w:color="auto" w:fill="FFFFFF"/>
        <w:spacing w:after="0" w:line="240" w:lineRule="auto"/>
        <w:ind w:left="20"/>
        <w:rPr>
          <w:rFonts w:ascii="Verdana" w:eastAsia="Times New Roman" w:hAnsi="Verdana" w:cs="Times New Roman"/>
          <w:color w:val="000000"/>
          <w:sz w:val="19"/>
          <w:szCs w:val="19"/>
          <w:lang w:eastAsia="it-IT"/>
        </w:rPr>
      </w:pPr>
      <w:r w:rsidRPr="0042038E">
        <w:rPr>
          <w:rFonts w:ascii="Verdana" w:eastAsia="Times New Roman" w:hAnsi="Verdana" w:cs="Times New Roman"/>
          <w:color w:val="000000"/>
          <w:sz w:val="19"/>
          <w:szCs w:val="19"/>
          <w:lang w:eastAsia="it-IT"/>
        </w:rPr>
        <w:t> </w:t>
      </w:r>
    </w:p>
    <w:p w:rsidR="0042038E" w:rsidRPr="0042038E" w:rsidRDefault="0042038E" w:rsidP="0042038E">
      <w:pPr>
        <w:shd w:val="clear" w:color="auto" w:fill="FFFFFF"/>
        <w:spacing w:after="0" w:line="240" w:lineRule="auto"/>
        <w:ind w:left="20"/>
        <w:rPr>
          <w:rFonts w:ascii="Verdana" w:eastAsia="Times New Roman" w:hAnsi="Verdana" w:cs="Times New Roman"/>
          <w:color w:val="000000"/>
          <w:sz w:val="19"/>
          <w:szCs w:val="19"/>
          <w:lang w:eastAsia="it-IT"/>
        </w:rPr>
      </w:pPr>
      <w:r w:rsidRPr="0042038E">
        <w:rPr>
          <w:rFonts w:ascii="Verdana" w:eastAsia="Times New Roman" w:hAnsi="Verdana" w:cs="Times New Roman"/>
          <w:color w:val="000000"/>
          <w:sz w:val="19"/>
          <w:szCs w:val="19"/>
          <w:lang w:eastAsia="it-IT"/>
        </w:rPr>
        <w:t xml:space="preserve">la commissione europea ha ribadito la necessità da parte di tutti gli stati membri di mantenere l'impegno assunto dello 0,7 per cento del </w:t>
      </w:r>
      <w:proofErr w:type="spellStart"/>
      <w:r w:rsidRPr="0042038E">
        <w:rPr>
          <w:rFonts w:ascii="Verdana" w:eastAsia="Times New Roman" w:hAnsi="Verdana" w:cs="Times New Roman"/>
          <w:color w:val="000000"/>
          <w:sz w:val="19"/>
          <w:szCs w:val="19"/>
          <w:lang w:eastAsia="it-IT"/>
        </w:rPr>
        <w:t>Pil</w:t>
      </w:r>
      <w:proofErr w:type="spellEnd"/>
      <w:r w:rsidRPr="0042038E">
        <w:rPr>
          <w:rFonts w:ascii="Verdana" w:eastAsia="Times New Roman" w:hAnsi="Verdana" w:cs="Times New Roman"/>
          <w:color w:val="000000"/>
          <w:sz w:val="19"/>
          <w:szCs w:val="19"/>
          <w:lang w:eastAsia="it-IT"/>
        </w:rPr>
        <w:t xml:space="preserve"> da destinare alla cooperazione allo sviluppo entro il 2015 al fine di raggiungere gli Obiettivi del Millennio come indicati nella "Dichiarazione del Millennio" (</w:t>
      </w:r>
      <w:proofErr w:type="spellStart"/>
      <w:r w:rsidRPr="0042038E">
        <w:rPr>
          <w:rFonts w:ascii="Verdana" w:eastAsia="Times New Roman" w:hAnsi="Verdana" w:cs="Times New Roman"/>
          <w:i/>
          <w:iCs/>
          <w:color w:val="000000"/>
          <w:sz w:val="19"/>
          <w:szCs w:val="19"/>
          <w:lang w:eastAsia="it-IT"/>
        </w:rPr>
        <w:t>United</w:t>
      </w:r>
      <w:proofErr w:type="spellEnd"/>
      <w:r w:rsidRPr="0042038E">
        <w:rPr>
          <w:rFonts w:ascii="Verdana" w:eastAsia="Times New Roman" w:hAnsi="Verdana" w:cs="Times New Roman"/>
          <w:i/>
          <w:iCs/>
          <w:color w:val="000000"/>
          <w:sz w:val="19"/>
          <w:szCs w:val="19"/>
          <w:lang w:eastAsia="it-IT"/>
        </w:rPr>
        <w:t xml:space="preserve"> </w:t>
      </w:r>
      <w:proofErr w:type="spellStart"/>
      <w:r w:rsidRPr="0042038E">
        <w:rPr>
          <w:rFonts w:ascii="Verdana" w:eastAsia="Times New Roman" w:hAnsi="Verdana" w:cs="Times New Roman"/>
          <w:i/>
          <w:iCs/>
          <w:color w:val="000000"/>
          <w:sz w:val="19"/>
          <w:szCs w:val="19"/>
          <w:lang w:eastAsia="it-IT"/>
        </w:rPr>
        <w:t>Nations</w:t>
      </w:r>
      <w:proofErr w:type="spellEnd"/>
      <w:r w:rsidRPr="0042038E">
        <w:rPr>
          <w:rFonts w:ascii="Verdana" w:eastAsia="Times New Roman" w:hAnsi="Verdana" w:cs="Times New Roman"/>
          <w:i/>
          <w:iCs/>
          <w:color w:val="000000"/>
          <w:sz w:val="19"/>
          <w:szCs w:val="19"/>
          <w:lang w:eastAsia="it-IT"/>
        </w:rPr>
        <w:t xml:space="preserve"> </w:t>
      </w:r>
      <w:proofErr w:type="spellStart"/>
      <w:r w:rsidRPr="0042038E">
        <w:rPr>
          <w:rFonts w:ascii="Verdana" w:eastAsia="Times New Roman" w:hAnsi="Verdana" w:cs="Times New Roman"/>
          <w:i/>
          <w:iCs/>
          <w:color w:val="000000"/>
          <w:sz w:val="19"/>
          <w:szCs w:val="19"/>
          <w:lang w:eastAsia="it-IT"/>
        </w:rPr>
        <w:t>Millennium</w:t>
      </w:r>
      <w:proofErr w:type="spellEnd"/>
      <w:r w:rsidRPr="0042038E">
        <w:rPr>
          <w:rFonts w:ascii="Verdana" w:eastAsia="Times New Roman" w:hAnsi="Verdana" w:cs="Times New Roman"/>
          <w:i/>
          <w:iCs/>
          <w:color w:val="000000"/>
          <w:sz w:val="19"/>
          <w:szCs w:val="19"/>
          <w:lang w:eastAsia="it-IT"/>
        </w:rPr>
        <w:t xml:space="preserve"> </w:t>
      </w:r>
      <w:proofErr w:type="spellStart"/>
      <w:r w:rsidRPr="0042038E">
        <w:rPr>
          <w:rFonts w:ascii="Verdana" w:eastAsia="Times New Roman" w:hAnsi="Verdana" w:cs="Times New Roman"/>
          <w:i/>
          <w:iCs/>
          <w:color w:val="000000"/>
          <w:sz w:val="19"/>
          <w:szCs w:val="19"/>
          <w:lang w:eastAsia="it-IT"/>
        </w:rPr>
        <w:t>Declaration</w:t>
      </w:r>
      <w:proofErr w:type="spellEnd"/>
      <w:r w:rsidRPr="0042038E">
        <w:rPr>
          <w:rFonts w:ascii="Verdana" w:eastAsia="Times New Roman" w:hAnsi="Verdana" w:cs="Times New Roman"/>
          <w:color w:val="000000"/>
          <w:sz w:val="19"/>
          <w:szCs w:val="19"/>
          <w:lang w:eastAsia="it-IT"/>
        </w:rPr>
        <w:t xml:space="preserve">); </w:t>
      </w:r>
    </w:p>
    <w:p w:rsidR="0042038E" w:rsidRPr="0042038E" w:rsidRDefault="0042038E" w:rsidP="0042038E">
      <w:pPr>
        <w:shd w:val="clear" w:color="auto" w:fill="FFFFFF"/>
        <w:spacing w:after="0" w:line="240" w:lineRule="auto"/>
        <w:ind w:left="20"/>
        <w:rPr>
          <w:rFonts w:ascii="Verdana" w:eastAsia="Times New Roman" w:hAnsi="Verdana" w:cs="Times New Roman"/>
          <w:color w:val="000000"/>
          <w:sz w:val="19"/>
          <w:szCs w:val="19"/>
          <w:lang w:eastAsia="it-IT"/>
        </w:rPr>
      </w:pPr>
      <w:r w:rsidRPr="0042038E">
        <w:rPr>
          <w:rFonts w:ascii="Verdana" w:eastAsia="Times New Roman" w:hAnsi="Verdana" w:cs="Times New Roman"/>
          <w:color w:val="000000"/>
          <w:sz w:val="19"/>
          <w:szCs w:val="19"/>
          <w:lang w:eastAsia="it-IT"/>
        </w:rPr>
        <w:t> </w:t>
      </w:r>
    </w:p>
    <w:p w:rsidR="0042038E" w:rsidRPr="0042038E" w:rsidRDefault="0042038E" w:rsidP="0042038E">
      <w:pPr>
        <w:shd w:val="clear" w:color="auto" w:fill="FFFFFF"/>
        <w:spacing w:after="0" w:line="240" w:lineRule="auto"/>
        <w:ind w:left="20"/>
        <w:rPr>
          <w:rFonts w:ascii="Verdana" w:eastAsia="Times New Roman" w:hAnsi="Verdana" w:cs="Times New Roman"/>
          <w:color w:val="000000"/>
          <w:sz w:val="19"/>
          <w:szCs w:val="19"/>
          <w:lang w:eastAsia="it-IT"/>
        </w:rPr>
      </w:pPr>
      <w:r w:rsidRPr="0042038E">
        <w:rPr>
          <w:rFonts w:ascii="Verdana" w:eastAsia="Times New Roman" w:hAnsi="Verdana" w:cs="Times New Roman"/>
          <w:color w:val="000000"/>
          <w:sz w:val="19"/>
          <w:szCs w:val="19"/>
          <w:lang w:eastAsia="it-IT"/>
        </w:rPr>
        <w:t xml:space="preserve">nonostante la crisi economica finanziaria e internazionale, gli altri paesi europei cercano di avvicinarsi al dato indicato dall'ONU, al contrario l' Italia continua a ridurre il suo impegno che nel 2009 si è attestato a consuntivo allo 0,16 per cento del </w:t>
      </w:r>
      <w:proofErr w:type="spellStart"/>
      <w:r w:rsidRPr="0042038E">
        <w:rPr>
          <w:rFonts w:ascii="Verdana" w:eastAsia="Times New Roman" w:hAnsi="Verdana" w:cs="Times New Roman"/>
          <w:color w:val="000000"/>
          <w:sz w:val="19"/>
          <w:szCs w:val="19"/>
          <w:lang w:eastAsia="it-IT"/>
        </w:rPr>
        <w:t>Pil</w:t>
      </w:r>
      <w:proofErr w:type="spellEnd"/>
      <w:r w:rsidRPr="0042038E">
        <w:rPr>
          <w:rFonts w:ascii="Verdana" w:eastAsia="Times New Roman" w:hAnsi="Verdana" w:cs="Times New Roman"/>
          <w:color w:val="000000"/>
          <w:sz w:val="19"/>
          <w:szCs w:val="19"/>
          <w:lang w:eastAsia="it-IT"/>
        </w:rPr>
        <w:t xml:space="preserve"> e che, in assenza di mutamenti di indirizzo politico, continuerà a  calare fino a raggiungere lo 0,15 nelle previsioni per il 2012;</w:t>
      </w:r>
    </w:p>
    <w:p w:rsidR="0042038E" w:rsidRPr="0042038E" w:rsidRDefault="0042038E" w:rsidP="0042038E">
      <w:pPr>
        <w:shd w:val="clear" w:color="auto" w:fill="FFFFFF"/>
        <w:spacing w:after="0" w:line="240" w:lineRule="auto"/>
        <w:ind w:left="20"/>
        <w:rPr>
          <w:rFonts w:ascii="Verdana" w:eastAsia="Times New Roman" w:hAnsi="Verdana" w:cs="Times New Roman"/>
          <w:color w:val="000000"/>
          <w:sz w:val="19"/>
          <w:szCs w:val="19"/>
          <w:lang w:eastAsia="it-IT"/>
        </w:rPr>
      </w:pPr>
      <w:r w:rsidRPr="0042038E">
        <w:rPr>
          <w:rFonts w:ascii="Verdana" w:eastAsia="Times New Roman" w:hAnsi="Verdana" w:cs="Times New Roman"/>
          <w:color w:val="000000"/>
          <w:sz w:val="19"/>
          <w:szCs w:val="19"/>
          <w:lang w:eastAsia="it-IT"/>
        </w:rPr>
        <w:t> </w:t>
      </w:r>
    </w:p>
    <w:p w:rsidR="0042038E" w:rsidRPr="0042038E" w:rsidRDefault="0042038E" w:rsidP="0042038E">
      <w:pPr>
        <w:shd w:val="clear" w:color="auto" w:fill="FFFFFF"/>
        <w:spacing w:after="0" w:line="240" w:lineRule="auto"/>
        <w:ind w:left="20"/>
        <w:rPr>
          <w:rFonts w:ascii="Verdana" w:eastAsia="Times New Roman" w:hAnsi="Verdana" w:cs="Times New Roman"/>
          <w:color w:val="000000"/>
          <w:sz w:val="19"/>
          <w:szCs w:val="19"/>
          <w:lang w:eastAsia="it-IT"/>
        </w:rPr>
      </w:pPr>
      <w:r w:rsidRPr="0042038E">
        <w:rPr>
          <w:rFonts w:ascii="Verdana" w:eastAsia="Times New Roman" w:hAnsi="Verdana" w:cs="Times New Roman"/>
          <w:color w:val="000000"/>
          <w:sz w:val="19"/>
          <w:szCs w:val="19"/>
          <w:lang w:eastAsia="it-IT"/>
        </w:rPr>
        <w:t xml:space="preserve">il quadro è reso ancor più preoccupante dalla durezza dei tagli agli stanziamenti alla </w:t>
      </w:r>
      <w:proofErr w:type="spellStart"/>
      <w:r w:rsidRPr="0042038E">
        <w:rPr>
          <w:rFonts w:ascii="Verdana" w:eastAsia="Times New Roman" w:hAnsi="Verdana" w:cs="Times New Roman"/>
          <w:color w:val="000000"/>
          <w:sz w:val="19"/>
          <w:szCs w:val="19"/>
          <w:lang w:eastAsia="it-IT"/>
        </w:rPr>
        <w:t>D.G.C.S.</w:t>
      </w:r>
      <w:proofErr w:type="spellEnd"/>
      <w:r w:rsidRPr="0042038E">
        <w:rPr>
          <w:rFonts w:ascii="Verdana" w:eastAsia="Times New Roman" w:hAnsi="Verdana" w:cs="Times New Roman"/>
          <w:color w:val="000000"/>
          <w:sz w:val="19"/>
          <w:szCs w:val="19"/>
          <w:lang w:eastAsia="it-IT"/>
        </w:rPr>
        <w:t xml:space="preserve"> che tra il 2009 e il 2011 raggiungono il 75 per cento rispetto allo stanziamento dell'esercizio 2008;</w:t>
      </w:r>
    </w:p>
    <w:p w:rsidR="0042038E" w:rsidRPr="0042038E" w:rsidRDefault="0042038E" w:rsidP="0042038E">
      <w:pPr>
        <w:shd w:val="clear" w:color="auto" w:fill="FFFFFF"/>
        <w:spacing w:after="0" w:line="240" w:lineRule="auto"/>
        <w:ind w:left="20"/>
        <w:rPr>
          <w:rFonts w:ascii="Verdana" w:eastAsia="Times New Roman" w:hAnsi="Verdana" w:cs="Times New Roman"/>
          <w:color w:val="000000"/>
          <w:sz w:val="19"/>
          <w:szCs w:val="19"/>
          <w:lang w:eastAsia="it-IT"/>
        </w:rPr>
      </w:pPr>
      <w:r w:rsidRPr="0042038E">
        <w:rPr>
          <w:rFonts w:ascii="Verdana" w:eastAsia="Times New Roman" w:hAnsi="Verdana" w:cs="Times New Roman"/>
          <w:color w:val="000000"/>
          <w:sz w:val="19"/>
          <w:szCs w:val="19"/>
          <w:lang w:eastAsia="it-IT"/>
        </w:rPr>
        <w:t> </w:t>
      </w:r>
    </w:p>
    <w:p w:rsidR="0042038E" w:rsidRPr="0042038E" w:rsidRDefault="0042038E" w:rsidP="0042038E">
      <w:pPr>
        <w:shd w:val="clear" w:color="auto" w:fill="FFFFFF"/>
        <w:spacing w:after="0" w:line="240" w:lineRule="auto"/>
        <w:ind w:left="20"/>
        <w:rPr>
          <w:rFonts w:ascii="Verdana" w:eastAsia="Times New Roman" w:hAnsi="Verdana" w:cs="Times New Roman"/>
          <w:color w:val="000000"/>
          <w:sz w:val="19"/>
          <w:szCs w:val="19"/>
          <w:lang w:eastAsia="it-IT"/>
        </w:rPr>
      </w:pPr>
      <w:r w:rsidRPr="0042038E">
        <w:rPr>
          <w:rFonts w:ascii="Verdana" w:eastAsia="Times New Roman" w:hAnsi="Verdana" w:cs="Times New Roman"/>
          <w:color w:val="000000"/>
          <w:sz w:val="19"/>
          <w:szCs w:val="19"/>
          <w:lang w:eastAsia="it-IT"/>
        </w:rPr>
        <w:t>il Governo non ha fino ad oggi fatto conoscere le sue proposte in materia di riforma della legislazione sulla cooperazione allo sviluppo;</w:t>
      </w:r>
    </w:p>
    <w:p w:rsidR="0042038E" w:rsidRPr="0042038E" w:rsidRDefault="0042038E" w:rsidP="0042038E">
      <w:pPr>
        <w:shd w:val="clear" w:color="auto" w:fill="FFFFFF"/>
        <w:spacing w:after="0" w:line="240" w:lineRule="auto"/>
        <w:ind w:left="20"/>
        <w:rPr>
          <w:rFonts w:ascii="Verdana" w:eastAsia="Times New Roman" w:hAnsi="Verdana" w:cs="Times New Roman"/>
          <w:color w:val="000000"/>
          <w:sz w:val="19"/>
          <w:szCs w:val="19"/>
          <w:lang w:eastAsia="it-IT"/>
        </w:rPr>
      </w:pPr>
      <w:r w:rsidRPr="0042038E">
        <w:rPr>
          <w:rFonts w:ascii="Verdana" w:eastAsia="Times New Roman" w:hAnsi="Verdana" w:cs="Times New Roman"/>
          <w:color w:val="000000"/>
          <w:sz w:val="19"/>
          <w:szCs w:val="19"/>
          <w:lang w:eastAsia="it-IT"/>
        </w:rPr>
        <w:t> </w:t>
      </w:r>
    </w:p>
    <w:p w:rsidR="0042038E" w:rsidRPr="0042038E" w:rsidRDefault="0042038E" w:rsidP="0042038E">
      <w:pPr>
        <w:shd w:val="clear" w:color="auto" w:fill="FFFFFF"/>
        <w:spacing w:after="0" w:line="240" w:lineRule="auto"/>
        <w:ind w:left="20"/>
        <w:rPr>
          <w:rFonts w:ascii="Verdana" w:eastAsia="Times New Roman" w:hAnsi="Verdana" w:cs="Times New Roman"/>
          <w:color w:val="000000"/>
          <w:sz w:val="19"/>
          <w:szCs w:val="19"/>
          <w:lang w:eastAsia="it-IT"/>
        </w:rPr>
      </w:pPr>
      <w:r w:rsidRPr="0042038E">
        <w:rPr>
          <w:rFonts w:ascii="Verdana" w:eastAsia="Times New Roman" w:hAnsi="Verdana" w:cs="Times New Roman"/>
          <w:color w:val="000000"/>
          <w:sz w:val="19"/>
          <w:szCs w:val="19"/>
          <w:lang w:eastAsia="it-IT"/>
        </w:rPr>
        <w:t>impegna il Governo:</w:t>
      </w:r>
    </w:p>
    <w:p w:rsidR="0042038E" w:rsidRPr="0042038E" w:rsidRDefault="0042038E" w:rsidP="0042038E">
      <w:pPr>
        <w:shd w:val="clear" w:color="auto" w:fill="FFFFFF"/>
        <w:spacing w:after="0" w:line="240" w:lineRule="auto"/>
        <w:ind w:left="20"/>
        <w:rPr>
          <w:rFonts w:ascii="Verdana" w:eastAsia="Times New Roman" w:hAnsi="Verdana" w:cs="Times New Roman"/>
          <w:color w:val="000000"/>
          <w:sz w:val="19"/>
          <w:szCs w:val="19"/>
          <w:lang w:eastAsia="it-IT"/>
        </w:rPr>
      </w:pPr>
      <w:r w:rsidRPr="0042038E">
        <w:rPr>
          <w:rFonts w:ascii="Verdana" w:eastAsia="Times New Roman" w:hAnsi="Verdana" w:cs="Times New Roman"/>
          <w:color w:val="000000"/>
          <w:sz w:val="19"/>
          <w:szCs w:val="19"/>
          <w:lang w:eastAsia="it-IT"/>
        </w:rPr>
        <w:t> </w:t>
      </w:r>
    </w:p>
    <w:p w:rsidR="0042038E" w:rsidRPr="0042038E" w:rsidRDefault="0042038E" w:rsidP="0042038E">
      <w:pPr>
        <w:shd w:val="clear" w:color="auto" w:fill="FFFFFF"/>
        <w:spacing w:after="0" w:line="240" w:lineRule="auto"/>
        <w:ind w:left="20"/>
        <w:rPr>
          <w:rFonts w:ascii="Verdana" w:eastAsia="Times New Roman" w:hAnsi="Verdana" w:cs="Times New Roman"/>
          <w:color w:val="000000"/>
          <w:sz w:val="19"/>
          <w:szCs w:val="19"/>
          <w:lang w:eastAsia="it-IT"/>
        </w:rPr>
      </w:pPr>
      <w:r w:rsidRPr="0042038E">
        <w:rPr>
          <w:rFonts w:ascii="Verdana" w:eastAsia="Times New Roman" w:hAnsi="Verdana" w:cs="Times New Roman"/>
          <w:color w:val="000000"/>
          <w:sz w:val="19"/>
          <w:szCs w:val="19"/>
          <w:lang w:eastAsia="it-IT"/>
        </w:rPr>
        <w:t>   a definire un piano pluriennale di incrementi dei fondi da destinare alla cooperazione allo sviluppo, che consenta all'Italia di rientrare nel rispetto degli impegni internazionalmente già assunti e di rilanciare il suo ruolo in questo ambito strategico della politica estera;</w:t>
      </w:r>
    </w:p>
    <w:p w:rsidR="0042038E" w:rsidRPr="0042038E" w:rsidRDefault="0042038E" w:rsidP="0042038E">
      <w:pPr>
        <w:shd w:val="clear" w:color="auto" w:fill="FFFFFF"/>
        <w:spacing w:after="0" w:line="240" w:lineRule="auto"/>
        <w:ind w:left="20"/>
        <w:rPr>
          <w:rFonts w:ascii="Verdana" w:eastAsia="Times New Roman" w:hAnsi="Verdana" w:cs="Times New Roman"/>
          <w:color w:val="000000"/>
          <w:sz w:val="19"/>
          <w:szCs w:val="19"/>
          <w:lang w:eastAsia="it-IT"/>
        </w:rPr>
      </w:pPr>
      <w:r w:rsidRPr="0042038E">
        <w:rPr>
          <w:rFonts w:ascii="Verdana" w:eastAsia="Times New Roman" w:hAnsi="Verdana" w:cs="Times New Roman"/>
          <w:color w:val="000000"/>
          <w:sz w:val="19"/>
          <w:szCs w:val="19"/>
          <w:lang w:eastAsia="it-IT"/>
        </w:rPr>
        <w:t> </w:t>
      </w:r>
    </w:p>
    <w:p w:rsidR="0042038E" w:rsidRPr="0042038E" w:rsidRDefault="0042038E" w:rsidP="0042038E">
      <w:pPr>
        <w:shd w:val="clear" w:color="auto" w:fill="FFFFFF"/>
        <w:spacing w:after="0" w:line="240" w:lineRule="auto"/>
        <w:ind w:left="20"/>
        <w:rPr>
          <w:rFonts w:ascii="Verdana" w:eastAsia="Times New Roman" w:hAnsi="Verdana" w:cs="Times New Roman"/>
          <w:color w:val="000000"/>
          <w:sz w:val="19"/>
          <w:szCs w:val="19"/>
          <w:lang w:eastAsia="it-IT"/>
        </w:rPr>
      </w:pPr>
      <w:r w:rsidRPr="0042038E">
        <w:rPr>
          <w:rFonts w:ascii="Verdana" w:eastAsia="Times New Roman" w:hAnsi="Verdana" w:cs="Times New Roman"/>
          <w:color w:val="000000"/>
          <w:sz w:val="19"/>
          <w:szCs w:val="19"/>
          <w:lang w:eastAsia="it-IT"/>
        </w:rPr>
        <w:t>  a favorire la ripresa del dibattito parlamentare sulla riforma della legge n. 49 del 26 febbraio 1987 e dare così seguito al proficuo lavoro svolto dalla Commissione esteri con ampio consenso da parte di tutti i gruppi parlamentari.</w:t>
      </w:r>
    </w:p>
    <w:p w:rsidR="0042038E" w:rsidRPr="0042038E" w:rsidRDefault="0042038E" w:rsidP="0042038E">
      <w:pPr>
        <w:shd w:val="clear" w:color="auto" w:fill="FFFFFF"/>
        <w:spacing w:after="160" w:line="240" w:lineRule="auto"/>
        <w:ind w:left="20"/>
        <w:rPr>
          <w:rFonts w:ascii="Verdana" w:eastAsia="Times New Roman" w:hAnsi="Verdana" w:cs="Times New Roman"/>
          <w:color w:val="000000"/>
          <w:sz w:val="19"/>
          <w:szCs w:val="19"/>
          <w:lang w:eastAsia="it-IT"/>
        </w:rPr>
      </w:pPr>
      <w:r w:rsidRPr="0042038E">
        <w:rPr>
          <w:rFonts w:ascii="Verdana" w:eastAsia="Times New Roman" w:hAnsi="Verdana" w:cs="Times New Roman"/>
          <w:color w:val="000000"/>
          <w:sz w:val="19"/>
          <w:szCs w:val="19"/>
          <w:lang w:eastAsia="it-IT"/>
        </w:rPr>
        <w:t xml:space="preserve">  </w:t>
      </w:r>
    </w:p>
    <w:p w:rsidR="0042038E" w:rsidRPr="0042038E" w:rsidRDefault="0042038E" w:rsidP="0042038E">
      <w:pPr>
        <w:shd w:val="clear" w:color="auto" w:fill="FFFFFF"/>
        <w:spacing w:before="20" w:after="20" w:line="240" w:lineRule="auto"/>
        <w:ind w:left="20"/>
        <w:jc w:val="center"/>
        <w:rPr>
          <w:rFonts w:ascii="Verdana" w:eastAsia="Times New Roman" w:hAnsi="Verdana" w:cs="Times New Roman"/>
          <w:color w:val="000000"/>
          <w:sz w:val="19"/>
          <w:szCs w:val="19"/>
          <w:lang w:eastAsia="it-IT"/>
        </w:rPr>
      </w:pPr>
      <w:r w:rsidRPr="0042038E">
        <w:rPr>
          <w:rFonts w:ascii="Verdana" w:eastAsia="Times New Roman" w:hAnsi="Verdana" w:cs="Times New Roman"/>
          <w:color w:val="000000"/>
          <w:sz w:val="19"/>
          <w:szCs w:val="19"/>
          <w:lang w:eastAsia="it-IT"/>
        </w:rPr>
        <w:t xml:space="preserve">  </w:t>
      </w:r>
    </w:p>
    <w:p w:rsidR="00D33579" w:rsidRDefault="00D33579"/>
    <w:sectPr w:rsidR="00D33579" w:rsidSect="00D335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compat/>
  <w:rsids>
    <w:rsidRoot w:val="0042038E"/>
    <w:rsid w:val="000012BD"/>
    <w:rsid w:val="000037B3"/>
    <w:rsid w:val="000073DA"/>
    <w:rsid w:val="0001142E"/>
    <w:rsid w:val="00013B9B"/>
    <w:rsid w:val="000278EF"/>
    <w:rsid w:val="000279D6"/>
    <w:rsid w:val="0003644F"/>
    <w:rsid w:val="00036C7A"/>
    <w:rsid w:val="000410AA"/>
    <w:rsid w:val="000464F5"/>
    <w:rsid w:val="0005531C"/>
    <w:rsid w:val="00056BA5"/>
    <w:rsid w:val="00057F72"/>
    <w:rsid w:val="00061AE8"/>
    <w:rsid w:val="00063870"/>
    <w:rsid w:val="00065B12"/>
    <w:rsid w:val="000665DB"/>
    <w:rsid w:val="00070325"/>
    <w:rsid w:val="00072C3B"/>
    <w:rsid w:val="00074B8A"/>
    <w:rsid w:val="00080340"/>
    <w:rsid w:val="00083891"/>
    <w:rsid w:val="00085273"/>
    <w:rsid w:val="00093CD2"/>
    <w:rsid w:val="00097D49"/>
    <w:rsid w:val="00097D5B"/>
    <w:rsid w:val="000A4FB5"/>
    <w:rsid w:val="000B3C50"/>
    <w:rsid w:val="000C1069"/>
    <w:rsid w:val="000C2F2A"/>
    <w:rsid w:val="000C46ED"/>
    <w:rsid w:val="000C6E53"/>
    <w:rsid w:val="000D0DE9"/>
    <w:rsid w:val="000D3796"/>
    <w:rsid w:val="000D5D3A"/>
    <w:rsid w:val="000E0E92"/>
    <w:rsid w:val="000F58BF"/>
    <w:rsid w:val="001044E5"/>
    <w:rsid w:val="0010527C"/>
    <w:rsid w:val="00114EDC"/>
    <w:rsid w:val="00116257"/>
    <w:rsid w:val="00116A53"/>
    <w:rsid w:val="00123536"/>
    <w:rsid w:val="00126622"/>
    <w:rsid w:val="001315BE"/>
    <w:rsid w:val="00132B00"/>
    <w:rsid w:val="001332F8"/>
    <w:rsid w:val="001340D7"/>
    <w:rsid w:val="00136238"/>
    <w:rsid w:val="001442C1"/>
    <w:rsid w:val="00161DAA"/>
    <w:rsid w:val="0017030F"/>
    <w:rsid w:val="00173521"/>
    <w:rsid w:val="001743B3"/>
    <w:rsid w:val="00174A9B"/>
    <w:rsid w:val="00176196"/>
    <w:rsid w:val="001761BE"/>
    <w:rsid w:val="00193F67"/>
    <w:rsid w:val="00197191"/>
    <w:rsid w:val="00197E31"/>
    <w:rsid w:val="001A235B"/>
    <w:rsid w:val="001B0314"/>
    <w:rsid w:val="001B3C3F"/>
    <w:rsid w:val="001B5104"/>
    <w:rsid w:val="001B5317"/>
    <w:rsid w:val="001B5857"/>
    <w:rsid w:val="001C2E22"/>
    <w:rsid w:val="001C6870"/>
    <w:rsid w:val="001D53F2"/>
    <w:rsid w:val="001D6985"/>
    <w:rsid w:val="001D7DB3"/>
    <w:rsid w:val="001E226A"/>
    <w:rsid w:val="001E5F58"/>
    <w:rsid w:val="001E6332"/>
    <w:rsid w:val="001F1BF3"/>
    <w:rsid w:val="001F386E"/>
    <w:rsid w:val="002024B0"/>
    <w:rsid w:val="00203756"/>
    <w:rsid w:val="00205070"/>
    <w:rsid w:val="00212702"/>
    <w:rsid w:val="00215089"/>
    <w:rsid w:val="0021571C"/>
    <w:rsid w:val="00216484"/>
    <w:rsid w:val="002225ED"/>
    <w:rsid w:val="002250CC"/>
    <w:rsid w:val="002311DA"/>
    <w:rsid w:val="00232BB3"/>
    <w:rsid w:val="00232E0A"/>
    <w:rsid w:val="00236972"/>
    <w:rsid w:val="002444D6"/>
    <w:rsid w:val="00244E0B"/>
    <w:rsid w:val="00246C94"/>
    <w:rsid w:val="002522C2"/>
    <w:rsid w:val="00252E31"/>
    <w:rsid w:val="00253EF9"/>
    <w:rsid w:val="00255F8F"/>
    <w:rsid w:val="00260B96"/>
    <w:rsid w:val="002624DB"/>
    <w:rsid w:val="00267C47"/>
    <w:rsid w:val="002741C0"/>
    <w:rsid w:val="0027482E"/>
    <w:rsid w:val="00291412"/>
    <w:rsid w:val="00293B66"/>
    <w:rsid w:val="0029512C"/>
    <w:rsid w:val="002957ED"/>
    <w:rsid w:val="00296575"/>
    <w:rsid w:val="002A40C5"/>
    <w:rsid w:val="002B0F3C"/>
    <w:rsid w:val="002B13A5"/>
    <w:rsid w:val="002B32CE"/>
    <w:rsid w:val="002C1029"/>
    <w:rsid w:val="002C6A07"/>
    <w:rsid w:val="002D0577"/>
    <w:rsid w:val="002D0652"/>
    <w:rsid w:val="002E0FBD"/>
    <w:rsid w:val="002E2517"/>
    <w:rsid w:val="002E2B8C"/>
    <w:rsid w:val="002E3813"/>
    <w:rsid w:val="002E3CA6"/>
    <w:rsid w:val="002E40A3"/>
    <w:rsid w:val="002E42C7"/>
    <w:rsid w:val="002E4437"/>
    <w:rsid w:val="002E605E"/>
    <w:rsid w:val="002F1C6B"/>
    <w:rsid w:val="002F56E2"/>
    <w:rsid w:val="00301D74"/>
    <w:rsid w:val="0030308B"/>
    <w:rsid w:val="00307078"/>
    <w:rsid w:val="00311C0A"/>
    <w:rsid w:val="003163B8"/>
    <w:rsid w:val="00320130"/>
    <w:rsid w:val="003202E1"/>
    <w:rsid w:val="00321BC0"/>
    <w:rsid w:val="00323EA4"/>
    <w:rsid w:val="00327AE5"/>
    <w:rsid w:val="00330563"/>
    <w:rsid w:val="003336FA"/>
    <w:rsid w:val="00336AB6"/>
    <w:rsid w:val="00355D3F"/>
    <w:rsid w:val="00356359"/>
    <w:rsid w:val="003645E4"/>
    <w:rsid w:val="00370EA7"/>
    <w:rsid w:val="00380071"/>
    <w:rsid w:val="00391153"/>
    <w:rsid w:val="003940E6"/>
    <w:rsid w:val="00394996"/>
    <w:rsid w:val="0039539D"/>
    <w:rsid w:val="003A1618"/>
    <w:rsid w:val="003A1D1C"/>
    <w:rsid w:val="003A2AF2"/>
    <w:rsid w:val="003A3114"/>
    <w:rsid w:val="003B13C5"/>
    <w:rsid w:val="003C38BF"/>
    <w:rsid w:val="003C7097"/>
    <w:rsid w:val="003C73B7"/>
    <w:rsid w:val="003D0114"/>
    <w:rsid w:val="003D0537"/>
    <w:rsid w:val="003D3CB8"/>
    <w:rsid w:val="003D45CC"/>
    <w:rsid w:val="003E09FB"/>
    <w:rsid w:val="003F016A"/>
    <w:rsid w:val="003F604C"/>
    <w:rsid w:val="00401DE4"/>
    <w:rsid w:val="0040240F"/>
    <w:rsid w:val="00402611"/>
    <w:rsid w:val="004029EA"/>
    <w:rsid w:val="00404DF7"/>
    <w:rsid w:val="00406EE4"/>
    <w:rsid w:val="004109A1"/>
    <w:rsid w:val="00415E90"/>
    <w:rsid w:val="00416171"/>
    <w:rsid w:val="0042038E"/>
    <w:rsid w:val="0042369A"/>
    <w:rsid w:val="00424982"/>
    <w:rsid w:val="004258A1"/>
    <w:rsid w:val="00425D83"/>
    <w:rsid w:val="004260CC"/>
    <w:rsid w:val="00426221"/>
    <w:rsid w:val="00430DFD"/>
    <w:rsid w:val="0043173A"/>
    <w:rsid w:val="00432235"/>
    <w:rsid w:val="0043309B"/>
    <w:rsid w:val="00433AD2"/>
    <w:rsid w:val="0044229E"/>
    <w:rsid w:val="00445098"/>
    <w:rsid w:val="00452A8D"/>
    <w:rsid w:val="004563F6"/>
    <w:rsid w:val="004576D4"/>
    <w:rsid w:val="00461D10"/>
    <w:rsid w:val="0046368D"/>
    <w:rsid w:val="00463DBC"/>
    <w:rsid w:val="00465BF2"/>
    <w:rsid w:val="0047509F"/>
    <w:rsid w:val="004752DB"/>
    <w:rsid w:val="00485692"/>
    <w:rsid w:val="004863DB"/>
    <w:rsid w:val="00490F9C"/>
    <w:rsid w:val="004922C3"/>
    <w:rsid w:val="00496630"/>
    <w:rsid w:val="004A3BCD"/>
    <w:rsid w:val="004A5D01"/>
    <w:rsid w:val="004A78B7"/>
    <w:rsid w:val="004B007E"/>
    <w:rsid w:val="004B157A"/>
    <w:rsid w:val="004E013A"/>
    <w:rsid w:val="004E08CE"/>
    <w:rsid w:val="004E22C8"/>
    <w:rsid w:val="004E59F5"/>
    <w:rsid w:val="004E7B91"/>
    <w:rsid w:val="004F26E6"/>
    <w:rsid w:val="005043F9"/>
    <w:rsid w:val="00511265"/>
    <w:rsid w:val="00511C38"/>
    <w:rsid w:val="00512565"/>
    <w:rsid w:val="005250D3"/>
    <w:rsid w:val="00536283"/>
    <w:rsid w:val="0053727C"/>
    <w:rsid w:val="0054304E"/>
    <w:rsid w:val="00543E0F"/>
    <w:rsid w:val="005459B8"/>
    <w:rsid w:val="00560682"/>
    <w:rsid w:val="00566B5C"/>
    <w:rsid w:val="0057350D"/>
    <w:rsid w:val="005827DC"/>
    <w:rsid w:val="00582ABB"/>
    <w:rsid w:val="00582F84"/>
    <w:rsid w:val="005831EB"/>
    <w:rsid w:val="00586705"/>
    <w:rsid w:val="005907F5"/>
    <w:rsid w:val="00591D71"/>
    <w:rsid w:val="00597751"/>
    <w:rsid w:val="005A640E"/>
    <w:rsid w:val="005B0030"/>
    <w:rsid w:val="005B4E04"/>
    <w:rsid w:val="005B68D6"/>
    <w:rsid w:val="005C146A"/>
    <w:rsid w:val="005C203B"/>
    <w:rsid w:val="005C68A8"/>
    <w:rsid w:val="005D2001"/>
    <w:rsid w:val="005D2856"/>
    <w:rsid w:val="005D3F96"/>
    <w:rsid w:val="005E71B0"/>
    <w:rsid w:val="005F43BD"/>
    <w:rsid w:val="005F66CE"/>
    <w:rsid w:val="00600FFB"/>
    <w:rsid w:val="0061261E"/>
    <w:rsid w:val="00612A82"/>
    <w:rsid w:val="006134BC"/>
    <w:rsid w:val="00615DB0"/>
    <w:rsid w:val="00615EC4"/>
    <w:rsid w:val="006161C3"/>
    <w:rsid w:val="00624DAB"/>
    <w:rsid w:val="00624E5D"/>
    <w:rsid w:val="00630F99"/>
    <w:rsid w:val="00632E33"/>
    <w:rsid w:val="00633C12"/>
    <w:rsid w:val="006372C2"/>
    <w:rsid w:val="006421C5"/>
    <w:rsid w:val="00642C9B"/>
    <w:rsid w:val="0068006B"/>
    <w:rsid w:val="00682BBA"/>
    <w:rsid w:val="006914C8"/>
    <w:rsid w:val="00693A98"/>
    <w:rsid w:val="006966BE"/>
    <w:rsid w:val="00697C47"/>
    <w:rsid w:val="006A0D7D"/>
    <w:rsid w:val="006A158A"/>
    <w:rsid w:val="006A2235"/>
    <w:rsid w:val="006A7600"/>
    <w:rsid w:val="006B2A7B"/>
    <w:rsid w:val="006B34FF"/>
    <w:rsid w:val="006C1689"/>
    <w:rsid w:val="006C2CCD"/>
    <w:rsid w:val="006D20A5"/>
    <w:rsid w:val="006D47C0"/>
    <w:rsid w:val="006E15BF"/>
    <w:rsid w:val="006E4BD8"/>
    <w:rsid w:val="006F28D8"/>
    <w:rsid w:val="006F53DD"/>
    <w:rsid w:val="006F6F1F"/>
    <w:rsid w:val="0070438B"/>
    <w:rsid w:val="00720CFA"/>
    <w:rsid w:val="00740D17"/>
    <w:rsid w:val="007474B5"/>
    <w:rsid w:val="0075013E"/>
    <w:rsid w:val="007508A5"/>
    <w:rsid w:val="00757AE5"/>
    <w:rsid w:val="00764554"/>
    <w:rsid w:val="00764C98"/>
    <w:rsid w:val="00766277"/>
    <w:rsid w:val="00767E2A"/>
    <w:rsid w:val="00772B7B"/>
    <w:rsid w:val="00774D7B"/>
    <w:rsid w:val="00776102"/>
    <w:rsid w:val="0077663F"/>
    <w:rsid w:val="0077755D"/>
    <w:rsid w:val="007807BC"/>
    <w:rsid w:val="00784EB4"/>
    <w:rsid w:val="0078568D"/>
    <w:rsid w:val="007867BF"/>
    <w:rsid w:val="00787A54"/>
    <w:rsid w:val="00792093"/>
    <w:rsid w:val="00795691"/>
    <w:rsid w:val="00796BF5"/>
    <w:rsid w:val="007A4CBD"/>
    <w:rsid w:val="007A58FD"/>
    <w:rsid w:val="007B432E"/>
    <w:rsid w:val="007B6CAD"/>
    <w:rsid w:val="007B7DEA"/>
    <w:rsid w:val="007D00AA"/>
    <w:rsid w:val="007D0DA2"/>
    <w:rsid w:val="007E00CB"/>
    <w:rsid w:val="007E0199"/>
    <w:rsid w:val="007E2CCA"/>
    <w:rsid w:val="007E4325"/>
    <w:rsid w:val="007E7042"/>
    <w:rsid w:val="0080193B"/>
    <w:rsid w:val="0080746D"/>
    <w:rsid w:val="0081121F"/>
    <w:rsid w:val="00811F60"/>
    <w:rsid w:val="0081448E"/>
    <w:rsid w:val="00816178"/>
    <w:rsid w:val="008167B3"/>
    <w:rsid w:val="00831D57"/>
    <w:rsid w:val="00835A27"/>
    <w:rsid w:val="008450BA"/>
    <w:rsid w:val="00846A2A"/>
    <w:rsid w:val="008500AC"/>
    <w:rsid w:val="00853083"/>
    <w:rsid w:val="008569CC"/>
    <w:rsid w:val="00865C53"/>
    <w:rsid w:val="0086672A"/>
    <w:rsid w:val="008675CC"/>
    <w:rsid w:val="00874693"/>
    <w:rsid w:val="008900AE"/>
    <w:rsid w:val="00892395"/>
    <w:rsid w:val="008A2461"/>
    <w:rsid w:val="008A4458"/>
    <w:rsid w:val="008A5794"/>
    <w:rsid w:val="008B1C29"/>
    <w:rsid w:val="008B73DF"/>
    <w:rsid w:val="008C229E"/>
    <w:rsid w:val="008C6585"/>
    <w:rsid w:val="008C69A1"/>
    <w:rsid w:val="008C717D"/>
    <w:rsid w:val="008D3E1D"/>
    <w:rsid w:val="008E24F3"/>
    <w:rsid w:val="008E2A94"/>
    <w:rsid w:val="008E6471"/>
    <w:rsid w:val="008F2C1B"/>
    <w:rsid w:val="00901996"/>
    <w:rsid w:val="009035BA"/>
    <w:rsid w:val="00915437"/>
    <w:rsid w:val="0093751D"/>
    <w:rsid w:val="00940DAC"/>
    <w:rsid w:val="00941445"/>
    <w:rsid w:val="009462AF"/>
    <w:rsid w:val="00946F62"/>
    <w:rsid w:val="00951D25"/>
    <w:rsid w:val="00952A67"/>
    <w:rsid w:val="00956907"/>
    <w:rsid w:val="00960432"/>
    <w:rsid w:val="0096758B"/>
    <w:rsid w:val="00981D37"/>
    <w:rsid w:val="009A19BE"/>
    <w:rsid w:val="009A65BD"/>
    <w:rsid w:val="009B1F04"/>
    <w:rsid w:val="009B6823"/>
    <w:rsid w:val="009C0737"/>
    <w:rsid w:val="009C0DCA"/>
    <w:rsid w:val="009C4607"/>
    <w:rsid w:val="009C73F6"/>
    <w:rsid w:val="009D1A97"/>
    <w:rsid w:val="009D3E07"/>
    <w:rsid w:val="009D561F"/>
    <w:rsid w:val="009D74D4"/>
    <w:rsid w:val="009E33FA"/>
    <w:rsid w:val="009F01EF"/>
    <w:rsid w:val="009F29CA"/>
    <w:rsid w:val="009F2C67"/>
    <w:rsid w:val="009F5E2E"/>
    <w:rsid w:val="009F70B2"/>
    <w:rsid w:val="009F70E3"/>
    <w:rsid w:val="009F7E0C"/>
    <w:rsid w:val="00A03746"/>
    <w:rsid w:val="00A11649"/>
    <w:rsid w:val="00A12125"/>
    <w:rsid w:val="00A21CDA"/>
    <w:rsid w:val="00A23145"/>
    <w:rsid w:val="00A37DD2"/>
    <w:rsid w:val="00A440A7"/>
    <w:rsid w:val="00A6020C"/>
    <w:rsid w:val="00A62AA7"/>
    <w:rsid w:val="00A710D9"/>
    <w:rsid w:val="00A71E09"/>
    <w:rsid w:val="00A74E01"/>
    <w:rsid w:val="00A76129"/>
    <w:rsid w:val="00A77F6C"/>
    <w:rsid w:val="00A819D5"/>
    <w:rsid w:val="00A83CBD"/>
    <w:rsid w:val="00A928D8"/>
    <w:rsid w:val="00A974CD"/>
    <w:rsid w:val="00AA2121"/>
    <w:rsid w:val="00AA2E2A"/>
    <w:rsid w:val="00AA3EA8"/>
    <w:rsid w:val="00AA486A"/>
    <w:rsid w:val="00AA7825"/>
    <w:rsid w:val="00AB135B"/>
    <w:rsid w:val="00AC43B0"/>
    <w:rsid w:val="00AD4363"/>
    <w:rsid w:val="00AD6D56"/>
    <w:rsid w:val="00AE2171"/>
    <w:rsid w:val="00AE2824"/>
    <w:rsid w:val="00AE52F4"/>
    <w:rsid w:val="00AE7AB2"/>
    <w:rsid w:val="00AF0335"/>
    <w:rsid w:val="00AF5391"/>
    <w:rsid w:val="00AF72AF"/>
    <w:rsid w:val="00B02050"/>
    <w:rsid w:val="00B021C1"/>
    <w:rsid w:val="00B06BD5"/>
    <w:rsid w:val="00B2093F"/>
    <w:rsid w:val="00B21B5E"/>
    <w:rsid w:val="00B2268E"/>
    <w:rsid w:val="00B27AA1"/>
    <w:rsid w:val="00B31FF3"/>
    <w:rsid w:val="00B33B1E"/>
    <w:rsid w:val="00B43CCA"/>
    <w:rsid w:val="00B450FB"/>
    <w:rsid w:val="00B505D1"/>
    <w:rsid w:val="00B51DE8"/>
    <w:rsid w:val="00B6140E"/>
    <w:rsid w:val="00B6178E"/>
    <w:rsid w:val="00B738C3"/>
    <w:rsid w:val="00B74D95"/>
    <w:rsid w:val="00B81E2F"/>
    <w:rsid w:val="00B841C0"/>
    <w:rsid w:val="00B86312"/>
    <w:rsid w:val="00B9205C"/>
    <w:rsid w:val="00B949E0"/>
    <w:rsid w:val="00B95E23"/>
    <w:rsid w:val="00B95E79"/>
    <w:rsid w:val="00B966A8"/>
    <w:rsid w:val="00B97ACE"/>
    <w:rsid w:val="00BB097C"/>
    <w:rsid w:val="00BB1F49"/>
    <w:rsid w:val="00BB259D"/>
    <w:rsid w:val="00BB3612"/>
    <w:rsid w:val="00BB391C"/>
    <w:rsid w:val="00BC17FC"/>
    <w:rsid w:val="00BC209C"/>
    <w:rsid w:val="00BD1B28"/>
    <w:rsid w:val="00BD5198"/>
    <w:rsid w:val="00BE64B6"/>
    <w:rsid w:val="00BF0E73"/>
    <w:rsid w:val="00BF1F0D"/>
    <w:rsid w:val="00BF4470"/>
    <w:rsid w:val="00BF6F6D"/>
    <w:rsid w:val="00C01BFC"/>
    <w:rsid w:val="00C06822"/>
    <w:rsid w:val="00C11FF6"/>
    <w:rsid w:val="00C24B76"/>
    <w:rsid w:val="00C262BD"/>
    <w:rsid w:val="00C40EBB"/>
    <w:rsid w:val="00C41F59"/>
    <w:rsid w:val="00C454EC"/>
    <w:rsid w:val="00C47CC8"/>
    <w:rsid w:val="00C509DE"/>
    <w:rsid w:val="00C52A8F"/>
    <w:rsid w:val="00C53FDD"/>
    <w:rsid w:val="00C67069"/>
    <w:rsid w:val="00C67207"/>
    <w:rsid w:val="00C71DBD"/>
    <w:rsid w:val="00C73294"/>
    <w:rsid w:val="00C77CB6"/>
    <w:rsid w:val="00C80924"/>
    <w:rsid w:val="00C84444"/>
    <w:rsid w:val="00C97350"/>
    <w:rsid w:val="00CA2126"/>
    <w:rsid w:val="00CA45D1"/>
    <w:rsid w:val="00CA521B"/>
    <w:rsid w:val="00CA68F1"/>
    <w:rsid w:val="00CB777B"/>
    <w:rsid w:val="00CC2CEA"/>
    <w:rsid w:val="00CC3062"/>
    <w:rsid w:val="00CC4E0F"/>
    <w:rsid w:val="00CD1638"/>
    <w:rsid w:val="00CD5975"/>
    <w:rsid w:val="00CD5E94"/>
    <w:rsid w:val="00CD77DF"/>
    <w:rsid w:val="00CD7852"/>
    <w:rsid w:val="00CD7EE4"/>
    <w:rsid w:val="00CE164C"/>
    <w:rsid w:val="00CE2A11"/>
    <w:rsid w:val="00CE590B"/>
    <w:rsid w:val="00CE67CD"/>
    <w:rsid w:val="00CE6994"/>
    <w:rsid w:val="00CF29E5"/>
    <w:rsid w:val="00CF361F"/>
    <w:rsid w:val="00CF501F"/>
    <w:rsid w:val="00D06B39"/>
    <w:rsid w:val="00D1186F"/>
    <w:rsid w:val="00D22CB2"/>
    <w:rsid w:val="00D24E93"/>
    <w:rsid w:val="00D261ED"/>
    <w:rsid w:val="00D33579"/>
    <w:rsid w:val="00D36734"/>
    <w:rsid w:val="00D40184"/>
    <w:rsid w:val="00D410E1"/>
    <w:rsid w:val="00D44EA8"/>
    <w:rsid w:val="00D4523F"/>
    <w:rsid w:val="00D45556"/>
    <w:rsid w:val="00D5349D"/>
    <w:rsid w:val="00D6324A"/>
    <w:rsid w:val="00D63E35"/>
    <w:rsid w:val="00D64C1C"/>
    <w:rsid w:val="00D65EF9"/>
    <w:rsid w:val="00D67474"/>
    <w:rsid w:val="00D74B4D"/>
    <w:rsid w:val="00D762F3"/>
    <w:rsid w:val="00D843EC"/>
    <w:rsid w:val="00D9136F"/>
    <w:rsid w:val="00D9220C"/>
    <w:rsid w:val="00D95371"/>
    <w:rsid w:val="00DB12A3"/>
    <w:rsid w:val="00DB5EA7"/>
    <w:rsid w:val="00DC00BE"/>
    <w:rsid w:val="00DC451D"/>
    <w:rsid w:val="00DD46C3"/>
    <w:rsid w:val="00DE1CB1"/>
    <w:rsid w:val="00DE6E64"/>
    <w:rsid w:val="00DF3526"/>
    <w:rsid w:val="00DF3A12"/>
    <w:rsid w:val="00DF7AAC"/>
    <w:rsid w:val="00E01246"/>
    <w:rsid w:val="00E02DAB"/>
    <w:rsid w:val="00E055DB"/>
    <w:rsid w:val="00E161A4"/>
    <w:rsid w:val="00E20E45"/>
    <w:rsid w:val="00E24705"/>
    <w:rsid w:val="00E26694"/>
    <w:rsid w:val="00E26C5C"/>
    <w:rsid w:val="00E30421"/>
    <w:rsid w:val="00E363DA"/>
    <w:rsid w:val="00E4653E"/>
    <w:rsid w:val="00E5165E"/>
    <w:rsid w:val="00E52BAF"/>
    <w:rsid w:val="00E54169"/>
    <w:rsid w:val="00E61FEE"/>
    <w:rsid w:val="00E627A9"/>
    <w:rsid w:val="00E764E7"/>
    <w:rsid w:val="00E8157F"/>
    <w:rsid w:val="00E81B5E"/>
    <w:rsid w:val="00E87D2C"/>
    <w:rsid w:val="00E91C8C"/>
    <w:rsid w:val="00E941B5"/>
    <w:rsid w:val="00E975AA"/>
    <w:rsid w:val="00EA0D13"/>
    <w:rsid w:val="00EA4147"/>
    <w:rsid w:val="00EB42FF"/>
    <w:rsid w:val="00EB4627"/>
    <w:rsid w:val="00EB6D05"/>
    <w:rsid w:val="00EC1EEA"/>
    <w:rsid w:val="00EC25AE"/>
    <w:rsid w:val="00EC296B"/>
    <w:rsid w:val="00EC2AAC"/>
    <w:rsid w:val="00EC4071"/>
    <w:rsid w:val="00EC42A7"/>
    <w:rsid w:val="00EC711F"/>
    <w:rsid w:val="00ED6DD0"/>
    <w:rsid w:val="00ED7D5F"/>
    <w:rsid w:val="00EE040C"/>
    <w:rsid w:val="00EE15F7"/>
    <w:rsid w:val="00EE3425"/>
    <w:rsid w:val="00EE34D0"/>
    <w:rsid w:val="00EF3C6B"/>
    <w:rsid w:val="00EF78F8"/>
    <w:rsid w:val="00F027D5"/>
    <w:rsid w:val="00F02AB6"/>
    <w:rsid w:val="00F04900"/>
    <w:rsid w:val="00F2224A"/>
    <w:rsid w:val="00F31F4F"/>
    <w:rsid w:val="00F32A88"/>
    <w:rsid w:val="00F32C7D"/>
    <w:rsid w:val="00F36BA5"/>
    <w:rsid w:val="00F52538"/>
    <w:rsid w:val="00F5343B"/>
    <w:rsid w:val="00F563AC"/>
    <w:rsid w:val="00F653BF"/>
    <w:rsid w:val="00F65791"/>
    <w:rsid w:val="00F65D21"/>
    <w:rsid w:val="00F72633"/>
    <w:rsid w:val="00F741E7"/>
    <w:rsid w:val="00F81801"/>
    <w:rsid w:val="00F951FB"/>
    <w:rsid w:val="00FA2346"/>
    <w:rsid w:val="00FA327F"/>
    <w:rsid w:val="00FA3A3A"/>
    <w:rsid w:val="00FB04B3"/>
    <w:rsid w:val="00FB103F"/>
    <w:rsid w:val="00FB18DD"/>
    <w:rsid w:val="00FB3100"/>
    <w:rsid w:val="00FC5BF5"/>
    <w:rsid w:val="00FD16B6"/>
    <w:rsid w:val="00FD6722"/>
    <w:rsid w:val="00FE1E6E"/>
    <w:rsid w:val="00FE4B35"/>
    <w:rsid w:val="00FE5D2B"/>
    <w:rsid w:val="00FE6DCA"/>
    <w:rsid w:val="00FF2920"/>
    <w:rsid w:val="00FF2E16"/>
    <w:rsid w:val="00FF4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3357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42038E"/>
    <w:rPr>
      <w:strike w:val="0"/>
      <w:dstrike w:val="0"/>
      <w:color w:val="0000FF"/>
      <w:u w:val="none"/>
      <w:effect w:val="none"/>
      <w:shd w:val="clear" w:color="auto" w:fill="auto"/>
    </w:rPr>
  </w:style>
  <w:style w:type="paragraph" w:customStyle="1" w:styleId="testocenter1">
    <w:name w:val="testocenter1"/>
    <w:basedOn w:val="Normale"/>
    <w:rsid w:val="0042038E"/>
    <w:pPr>
      <w:spacing w:before="20" w:after="20" w:line="240" w:lineRule="auto"/>
      <w:ind w:left="20"/>
      <w:jc w:val="center"/>
    </w:pPr>
    <w:rPr>
      <w:rFonts w:ascii="Verdana" w:eastAsia="Times New Roman" w:hAnsi="Verdana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740567">
      <w:bodyDiv w:val="1"/>
      <w:marLeft w:val="0"/>
      <w:marRight w:val="39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4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5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552933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790983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nato.intranet/loc/link.asp?leg=16&amp;tipodoc=sanasen&amp;id=22754" TargetMode="External"/><Relationship Id="rId13" Type="http://schemas.openxmlformats.org/officeDocument/2006/relationships/hyperlink" Target="http://www.senato.intranet/loc/link.asp?leg=16&amp;tipodoc=sanasen&amp;id=1766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enato.intranet/loc/link.asp?leg=16&amp;tipodoc=sanasen&amp;id=3949" TargetMode="External"/><Relationship Id="rId12" Type="http://schemas.openxmlformats.org/officeDocument/2006/relationships/hyperlink" Target="http://www.senato.intranet/loc/link.asp?leg=16&amp;tipodoc=sanasen&amp;id=2523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nato.intranet/loc/link.asp?leg=16&amp;tipodoc=sanasen&amp;id=23000" TargetMode="External"/><Relationship Id="rId11" Type="http://schemas.openxmlformats.org/officeDocument/2006/relationships/hyperlink" Target="http://www.senato.intranet/loc/link.asp?leg=16&amp;tipodoc=sanasen&amp;id=22790" TargetMode="External"/><Relationship Id="rId5" Type="http://schemas.openxmlformats.org/officeDocument/2006/relationships/hyperlink" Target="http://www.senato.intranet/loc/link.asp?leg=16&amp;tipodoc=sanasen&amp;id=17651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senato.intranet/loc/link.asp?leg=16&amp;tipodoc=sanasen&amp;id=1471" TargetMode="External"/><Relationship Id="rId4" Type="http://schemas.openxmlformats.org/officeDocument/2006/relationships/hyperlink" Target="http://www.senato.intranet/uri-res/N2Ls?urn:senato-it:bgt:ddl:oggetto;596755" TargetMode="External"/><Relationship Id="rId9" Type="http://schemas.openxmlformats.org/officeDocument/2006/relationships/hyperlink" Target="http://www.senato.intranet/loc/link.asp?leg=16&amp;tipodoc=sanasen&amp;id=2529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595</Words>
  <Characters>3396</Characters>
  <Application>Microsoft Office Word</Application>
  <DocSecurity>0</DocSecurity>
  <Lines>28</Lines>
  <Paragraphs>7</Paragraphs>
  <ScaleCrop>false</ScaleCrop>
  <Company>Senato della Repubblica</Company>
  <LinksUpToDate>false</LinksUpToDate>
  <CharactersWithSpaces>3984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giorgio.tonini</dc:creator>
  <cp:keywords/>
  <dc:description/>
  <cp:lastModifiedBy>giorgio.tonini</cp:lastModifiedBy>
  <cp:revision>2</cp:revision>
  <dcterms:created xsi:type="dcterms:W3CDTF">2010-08-03T15:08:00Z</dcterms:created>
  <dcterms:modified xsi:type="dcterms:W3CDTF">2010-08-03T15:08:00Z</dcterms:modified>
</cp:coreProperties>
</file>